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
        <w:rPr>
          <w:rFonts w:hint="eastAsia"/>
          <w:sz w:val="24"/>
        </w:rPr>
      </w:pPr>
      <w:r>
        <w:rPr>
          <w:rFonts w:hint="eastAsia"/>
          <w:b/>
          <w:bCs/>
          <w:sz w:val="24"/>
        </w:rPr>
        <w:t>附：</w:t>
      </w:r>
    </w:p>
    <w:p>
      <w:pPr>
        <w:spacing w:line="500" w:lineRule="exact"/>
        <w:ind w:firstLine="504" w:firstLineChars="209"/>
        <w:rPr>
          <w:rFonts w:hint="eastAsia"/>
          <w:sz w:val="24"/>
        </w:rPr>
      </w:pPr>
      <w:r>
        <w:rPr>
          <w:rFonts w:hint="eastAsia"/>
          <w:b/>
          <w:bCs/>
          <w:sz w:val="24"/>
        </w:rPr>
        <w:t>一、合作伙伴——英国特许公认会计师公会和中南财经政法大学会计学院</w:t>
      </w:r>
    </w:p>
    <w:p>
      <w:pPr>
        <w:spacing w:line="500" w:lineRule="exact"/>
        <w:ind w:firstLine="504" w:firstLineChars="209"/>
        <w:rPr>
          <w:rFonts w:hint="eastAsia"/>
          <w:sz w:val="24"/>
        </w:rPr>
      </w:pPr>
      <w:r>
        <w:rPr>
          <w:rFonts w:hint="eastAsia"/>
          <w:b/>
          <w:bCs/>
          <w:sz w:val="24"/>
        </w:rPr>
        <w:t>（一）ACCA相关介绍</w:t>
      </w:r>
    </w:p>
    <w:p>
      <w:pPr>
        <w:spacing w:line="500" w:lineRule="exact"/>
        <w:ind w:firstLine="504" w:firstLineChars="209"/>
        <w:rPr>
          <w:rFonts w:hint="eastAsia"/>
          <w:sz w:val="24"/>
        </w:rPr>
      </w:pPr>
      <w:r>
        <w:rPr>
          <w:rFonts w:hint="eastAsia"/>
          <w:b/>
          <w:bCs/>
          <w:sz w:val="24"/>
        </w:rPr>
        <w:t>1. ACCA在国际上的发展</w:t>
      </w:r>
    </w:p>
    <w:p>
      <w:pPr>
        <w:spacing w:line="500" w:lineRule="exact"/>
        <w:ind w:firstLine="501" w:firstLineChars="209"/>
        <w:rPr>
          <w:rFonts w:hint="eastAsia"/>
          <w:sz w:val="24"/>
        </w:rPr>
      </w:pPr>
      <w:r>
        <w:rPr>
          <w:rFonts w:hint="eastAsia"/>
          <w:sz w:val="24"/>
        </w:rPr>
        <w:t>ACCA是英国特许公认会计师公会（The Association of Chartered Certified Accountants）的简称。该组织成立于1904年，目前已在全球1</w:t>
      </w:r>
      <w:r>
        <w:rPr>
          <w:sz w:val="24"/>
        </w:rPr>
        <w:t>8</w:t>
      </w:r>
      <w:r>
        <w:rPr>
          <w:rFonts w:hint="eastAsia"/>
          <w:sz w:val="24"/>
        </w:rPr>
        <w:t>0多个国家和地区拥有</w:t>
      </w:r>
      <w:r>
        <w:rPr>
          <w:sz w:val="24"/>
        </w:rPr>
        <w:t>68</w:t>
      </w:r>
      <w:r>
        <w:rPr>
          <w:rFonts w:hint="eastAsia"/>
          <w:sz w:val="24"/>
        </w:rPr>
        <w:t>万会员和学员，是一个世界领先、被业界广泛认可的会计师职业团体。ACCA在全球会计师行业及工商业界享有极高的声誉和影响力，其会员资格已得到欧盟立法以及许多国家公司法的承认。ACCA会员皆精通专业英语，具有成为高级会计专业人士、高级财务管理专家的优秀素质，因此，深受世界500强与其他跨国企业、全球四大会计公司、银行等金融机构的青睐，可以说ACCA会员资格是世界各地就业的通行证，ACCA会员则是国际性职业、国际性人才。</w:t>
      </w:r>
    </w:p>
    <w:p>
      <w:pPr>
        <w:spacing w:line="500" w:lineRule="exact"/>
        <w:ind w:firstLine="501" w:firstLineChars="209"/>
        <w:rPr>
          <w:rFonts w:hint="eastAsia"/>
          <w:sz w:val="24"/>
        </w:rPr>
      </w:pPr>
      <w:r>
        <w:rPr>
          <w:rFonts w:hint="eastAsia"/>
          <w:sz w:val="24"/>
        </w:rPr>
        <w:t>ACCA考试是一种国际性考试。其全部课程均采用英文原版教材，全球统一考试大纲、统一考试时间、统一评阅试卷。考试要求英文答题。ACCA认证是一种国际性资格认证，ACCA资格证书已经成为原英联邦国家、欧洲国家、我国香港地区青年才俊谋求国际性工作环境与工作岗位的一张王牌。</w:t>
      </w:r>
    </w:p>
    <w:p>
      <w:pPr>
        <w:spacing w:line="500" w:lineRule="exact"/>
        <w:ind w:firstLine="504" w:firstLineChars="209"/>
        <w:rPr>
          <w:rFonts w:hint="eastAsia"/>
          <w:sz w:val="24"/>
        </w:rPr>
      </w:pPr>
      <w:r>
        <w:rPr>
          <w:rFonts w:hint="eastAsia"/>
          <w:b/>
          <w:bCs/>
          <w:sz w:val="24"/>
        </w:rPr>
        <w:t>2. ACCA在中国的发展现状</w:t>
      </w:r>
    </w:p>
    <w:p>
      <w:pPr>
        <w:spacing w:line="500" w:lineRule="exact"/>
        <w:ind w:firstLine="501" w:firstLineChars="209"/>
        <w:rPr>
          <w:rFonts w:hint="eastAsia"/>
          <w:sz w:val="24"/>
        </w:rPr>
      </w:pPr>
      <w:r>
        <w:rPr>
          <w:rFonts w:hint="eastAsia"/>
          <w:sz w:val="24"/>
        </w:rPr>
        <w:t>ACCA于20世纪90年代登陆我国内地，迄今已成为我国内地有志于谋求国际性工作环境、高层管理岗位、高级专门职业的青年人的时尚选择。目前，我国内地大多数ACCA会员都在香港、北京、上海、广州、深圳等城市的跨国公司、四大全球性会计公司分支机构和跨国银行或证券公司从事高层管理工作。</w:t>
      </w:r>
    </w:p>
    <w:p>
      <w:pPr>
        <w:spacing w:line="500" w:lineRule="exact"/>
        <w:ind w:firstLine="504" w:firstLineChars="209"/>
        <w:rPr>
          <w:rFonts w:hint="eastAsia"/>
          <w:sz w:val="24"/>
        </w:rPr>
      </w:pPr>
      <w:r>
        <w:rPr>
          <w:rFonts w:hint="eastAsia"/>
          <w:b/>
          <w:bCs/>
          <w:sz w:val="24"/>
        </w:rPr>
        <w:t>（二）中南财经政法大学会计学院相关介绍</w:t>
      </w:r>
    </w:p>
    <w:p>
      <w:pPr>
        <w:pStyle w:val="3"/>
        <w:shd w:val="clear" w:color="auto" w:fill="FFFFFF"/>
        <w:spacing w:before="0" w:beforeAutospacing="0" w:after="0" w:afterAutospacing="0" w:line="500" w:lineRule="exact"/>
        <w:ind w:firstLine="476"/>
        <w:rPr>
          <w:rFonts w:hint="eastAsia" w:ascii="Times New Roman" w:hAnsi="Times New Roman" w:cs="Times New Roman"/>
          <w:kern w:val="2"/>
        </w:rPr>
      </w:pPr>
      <w:r>
        <w:rPr>
          <w:rFonts w:hint="eastAsia" w:ascii="Times New Roman" w:hAnsi="Times New Roman" w:cs="Times New Roman"/>
          <w:kern w:val="2"/>
        </w:rPr>
        <w:t>中南财经政法大学是教育部直属普通高等学校，是国家“211工程”高校和“985工程优势学科创新平台”项目重点建设高校，以及教育部、财政部和湖北省人民政府共建高校。</w:t>
      </w:r>
    </w:p>
    <w:p>
      <w:pPr>
        <w:pStyle w:val="3"/>
        <w:shd w:val="clear" w:color="auto" w:fill="FFFFFF"/>
        <w:spacing w:before="0" w:beforeAutospacing="0" w:after="0" w:afterAutospacing="0" w:line="500" w:lineRule="exact"/>
        <w:ind w:firstLine="476"/>
        <w:rPr>
          <w:rFonts w:hint="eastAsia" w:ascii="Times New Roman" w:hAnsi="Times New Roman" w:cs="Times New Roman"/>
          <w:kern w:val="2"/>
        </w:rPr>
      </w:pPr>
      <w:r>
        <w:rPr>
          <w:rFonts w:hint="eastAsia" w:ascii="Times New Roman" w:hAnsi="Times New Roman" w:cs="Times New Roman"/>
          <w:kern w:val="2"/>
        </w:rPr>
        <w:t>中南财经政法大学会计学院前身是</w:t>
      </w:r>
      <w:r>
        <w:rPr>
          <w:rFonts w:hint="eastAsia" w:cs="Arial"/>
          <w:color w:val="333333"/>
        </w:rPr>
        <w:t>1949</w:t>
      </w:r>
      <w:r>
        <w:rPr>
          <w:rFonts w:hint="eastAsia" w:ascii="文泉驛等寬正黑" w:hAnsi="Arial" w:eastAsia="文泉驛等寬正黑" w:cs="Arial"/>
          <w:color w:val="333333"/>
        </w:rPr>
        <w:t>年成立的中原大学财经学院和</w:t>
      </w:r>
      <w:r>
        <w:rPr>
          <w:rFonts w:hint="eastAsia" w:ascii="Times New Roman" w:hAnsi="Times New Roman" w:cs="Times New Roman"/>
          <w:kern w:val="2"/>
        </w:rPr>
        <w:t>1952年全国高校院系调整时由中南地区六省二市主要院校会计学师资集中组建而成的会计系，学院正式成立于1999年，现已拥有国家级重点学科、国家级特色专业、国家级教学团队、财政部重点学科、湖北省优势学科、湖北省品牌专业、湖北省财会工作先进集体、湖北省拔尖创新型国际会计人才培育试验区、湖北省人文社科重点研究基地、与财政部共建的政府会计研究所、10余门国家级精品课程、双语示范课程、资源共享课程和慕课。</w:t>
      </w:r>
    </w:p>
    <w:p>
      <w:pPr>
        <w:pStyle w:val="3"/>
        <w:shd w:val="clear" w:color="auto" w:fill="FFFFFF"/>
        <w:spacing w:before="0" w:beforeAutospacing="0" w:after="0" w:afterAutospacing="0" w:line="500" w:lineRule="exact"/>
        <w:ind w:firstLine="476"/>
        <w:rPr>
          <w:rFonts w:hint="eastAsia" w:ascii="Times New Roman" w:hAnsi="Times New Roman" w:cs="Times New Roman"/>
          <w:kern w:val="2"/>
        </w:rPr>
      </w:pPr>
      <w:r>
        <w:rPr>
          <w:rFonts w:hint="eastAsia" w:ascii="Times New Roman" w:hAnsi="Times New Roman" w:cs="Times New Roman"/>
          <w:kern w:val="2"/>
        </w:rPr>
        <w:t>会计学科是我国5个国家级重点会计学科之一，整体实力在全国高校同类院系和学科中位居前列。</w:t>
      </w:r>
    </w:p>
    <w:p>
      <w:pPr>
        <w:pStyle w:val="3"/>
        <w:shd w:val="clear" w:color="auto" w:fill="FFFFFF"/>
        <w:spacing w:before="0" w:beforeAutospacing="0" w:after="0" w:afterAutospacing="0" w:line="500" w:lineRule="exact"/>
        <w:ind w:firstLine="475"/>
        <w:rPr>
          <w:rFonts w:hint="eastAsia" w:ascii="Arial" w:hAnsi="Arial" w:cs="Arial"/>
          <w:color w:val="333333"/>
          <w:sz w:val="20"/>
          <w:szCs w:val="20"/>
        </w:rPr>
      </w:pPr>
      <w:r>
        <w:rPr>
          <w:rFonts w:hint="eastAsia"/>
        </w:rPr>
        <w:t>详见会计学院简介网址：</w:t>
      </w:r>
      <w:r>
        <w:fldChar w:fldCharType="begin"/>
      </w:r>
      <w:r>
        <w:instrText xml:space="preserve"> HYPERLINK "http://kjxy.zuel.edu.cn/3916/list.htm" </w:instrText>
      </w:r>
      <w:r>
        <w:fldChar w:fldCharType="separate"/>
      </w:r>
      <w:r>
        <w:rPr>
          <w:rStyle w:val="5"/>
        </w:rPr>
        <w:t>http://kjxy.zuel.edu.cn/3916/list.htm</w:t>
      </w:r>
      <w:r>
        <w:fldChar w:fldCharType="end"/>
      </w:r>
    </w:p>
    <w:p>
      <w:pPr>
        <w:pStyle w:val="2"/>
        <w:rPr>
          <w:rFonts w:hint="eastAsia"/>
        </w:rPr>
      </w:pPr>
    </w:p>
    <w:p>
      <w:pPr>
        <w:spacing w:line="500" w:lineRule="exact"/>
        <w:ind w:firstLine="504" w:firstLineChars="209"/>
        <w:rPr>
          <w:rFonts w:hint="eastAsia"/>
          <w:sz w:val="24"/>
        </w:rPr>
      </w:pPr>
      <w:r>
        <w:rPr>
          <w:rFonts w:hint="eastAsia"/>
          <w:b/>
          <w:bCs/>
          <w:sz w:val="24"/>
        </w:rPr>
        <w:t>1.</w:t>
      </w:r>
      <w:r>
        <w:rPr>
          <w:b/>
          <w:bCs/>
          <w:sz w:val="24"/>
        </w:rPr>
        <w:t xml:space="preserve">   </w:t>
      </w:r>
      <w:r>
        <w:rPr>
          <w:rFonts w:hint="eastAsia"/>
          <w:b/>
          <w:bCs/>
          <w:sz w:val="24"/>
        </w:rPr>
        <w:t>ACCA考试培训中心——依托会计学国家级重点学科、ACCA会员的摇篮</w:t>
      </w:r>
    </w:p>
    <w:p>
      <w:pPr>
        <w:spacing w:line="500" w:lineRule="exact"/>
        <w:ind w:firstLine="501" w:firstLineChars="209"/>
        <w:rPr>
          <w:rFonts w:hint="eastAsia"/>
          <w:sz w:val="24"/>
        </w:rPr>
      </w:pPr>
      <w:r>
        <w:rPr>
          <w:rFonts w:hint="eastAsia"/>
          <w:sz w:val="24"/>
        </w:rPr>
        <w:t>我校于1994年成立ACCA考试培训中心，是全国最早的ACCA考试培训单位之一，中心依托于我校会计学国家级重点学科，师资力量十分雄厚。201</w:t>
      </w:r>
      <w:r>
        <w:rPr>
          <w:sz w:val="24"/>
        </w:rPr>
        <w:t>8</w:t>
      </w:r>
      <w:r>
        <w:rPr>
          <w:rFonts w:hint="eastAsia"/>
          <w:sz w:val="24"/>
        </w:rPr>
        <w:t>年5月，经ACCA英国总部审批，我校成为华中地区首家ACCA</w:t>
      </w:r>
      <w:r>
        <w:rPr>
          <w:sz w:val="24"/>
        </w:rPr>
        <w:t>白</w:t>
      </w:r>
      <w:r>
        <w:rPr>
          <w:rFonts w:hint="eastAsia"/>
          <w:sz w:val="24"/>
        </w:rPr>
        <w:t>金级（最高级别）认可培训机构。ACCA课程授课教师均为博士或已经全科通过ACCA考试，且具有丰富的ACCA教学工作经验。中心有70多位业余学员顺利通过ACCA全部课程考试（不含异地考试通过者和非全科通过者），其中，两名学员单科成绩名列全球第一。</w:t>
      </w:r>
    </w:p>
    <w:p>
      <w:pPr>
        <w:spacing w:line="500" w:lineRule="exact"/>
        <w:ind w:firstLine="504" w:firstLineChars="209"/>
        <w:rPr>
          <w:rFonts w:hint="eastAsia"/>
          <w:sz w:val="24"/>
        </w:rPr>
      </w:pPr>
      <w:r>
        <w:rPr>
          <w:rFonts w:hint="eastAsia"/>
          <w:b/>
          <w:bCs/>
          <w:sz w:val="24"/>
        </w:rPr>
        <w:t>2. 师资力量雄厚：</w:t>
      </w:r>
      <w:r>
        <w:rPr>
          <w:rFonts w:hint="eastAsia"/>
          <w:sz w:val="24"/>
        </w:rPr>
        <w:t>我院选派教授（含博士生导师）、副教授、博士或全科通过ACCA考试的教师等讲授专业课程。我院ACCA教学师资包括7名ACCA全科合格者，居全国高校之首，ACCA教学工作经验丰富。为了更好地服务学生，2012年11月，学院聘请英国资深ACCA培训师Peter Plant先生来校串讲P1、P4课程；2013年5月，学院聘请爱尔兰培训师Leo Norris先生和英国培训师Juan Gamecho先生来校串讲F8和P3课程。2013年11月，学院聘请爱尔兰培训师Leo Norris先生和马来西亚培训师Lau Chee Kwong先生来校串讲P1和P2课程。2014年5月，学院聘请新加坡培训师CHEE HAY KHEONG先生和英国培训师Peter Plant先生来校串讲F8和P5课程。2014年11月，学院聘请英国ACCA培训师Peter Plant和马来西亚培训师Lau Chee Kwong先生来我院串讲P1和P2课程。2015年5月，学院聘请新加坡ACCA培训师Chee Hay Kheong和马来西亚培训师Chow Kim Tai先生来我院串讲F8和P4课程。2015年11月，学院聘请英国ACCA培训师Peter Plant和马来西亚培训师Lau Chee Kwong先生来我院串讲P1和P2课程。2016年5月，学院聘请</w:t>
      </w:r>
      <w:r>
        <w:rPr>
          <w:sz w:val="24"/>
        </w:rPr>
        <w:t>ACCA 资深培训专家</w:t>
      </w:r>
      <w:r>
        <w:rPr>
          <w:rFonts w:hint="eastAsia"/>
          <w:sz w:val="24"/>
        </w:rPr>
        <w:t>Chee Hay Kheong和</w:t>
      </w:r>
      <w:r>
        <w:rPr>
          <w:sz w:val="24"/>
        </w:rPr>
        <w:t>Gary Millns先生</w:t>
      </w:r>
      <w:r>
        <w:rPr>
          <w:rFonts w:hint="eastAsia"/>
          <w:sz w:val="24"/>
        </w:rPr>
        <w:t>来我院串讲F8和P3课程。2016年11月，学院聘请英国ACCA培训师Graham Fairclough和Lau Chee Kwong先生来我院串讲P1和P2课程。2017年5月，学院聘请新加坡ACCA培训师Chee Hay Kheong和爱尔兰培训师Gary Millns先生来我院串讲F8和P3课程。2017年11月，学院聘请新加坡ACCA培训师Andy Tan和马来西亚ACCA培训师Lau Chee Kwong先生来我院串讲</w:t>
      </w:r>
      <w:r>
        <w:rPr>
          <w:sz w:val="24"/>
        </w:rPr>
        <w:t>P1</w:t>
      </w:r>
      <w:r>
        <w:rPr>
          <w:rFonts w:hint="eastAsia"/>
          <w:sz w:val="24"/>
        </w:rPr>
        <w:t>和P2课程。201</w:t>
      </w:r>
      <w:r>
        <w:rPr>
          <w:sz w:val="24"/>
        </w:rPr>
        <w:t>8</w:t>
      </w:r>
      <w:r>
        <w:rPr>
          <w:rFonts w:hint="eastAsia"/>
          <w:sz w:val="24"/>
        </w:rPr>
        <w:t>年5月，学院聘请新加坡ACCA培训师</w:t>
      </w:r>
      <w:r>
        <w:rPr>
          <w:sz w:val="24"/>
        </w:rPr>
        <w:t>Chee Hay Kheong</w:t>
      </w:r>
      <w:r>
        <w:rPr>
          <w:rFonts w:hint="eastAsia"/>
          <w:sz w:val="24"/>
        </w:rPr>
        <w:t>和Andy Tan先生来我院串讲F8和P</w:t>
      </w:r>
      <w:r>
        <w:rPr>
          <w:sz w:val="24"/>
        </w:rPr>
        <w:t>3课程</w:t>
      </w:r>
      <w:r>
        <w:rPr>
          <w:rFonts w:hint="eastAsia"/>
          <w:sz w:val="24"/>
        </w:rPr>
        <w:t>。</w:t>
      </w:r>
    </w:p>
    <w:p>
      <w:pPr>
        <w:spacing w:line="500" w:lineRule="exact"/>
        <w:ind w:firstLine="504" w:firstLineChars="209"/>
        <w:rPr>
          <w:rFonts w:hint="eastAsia"/>
          <w:sz w:val="24"/>
        </w:rPr>
      </w:pPr>
      <w:r>
        <w:rPr>
          <w:rFonts w:hint="eastAsia"/>
          <w:b/>
          <w:bCs/>
          <w:sz w:val="24"/>
        </w:rPr>
        <w:t>3. 教学成效一流：</w:t>
      </w:r>
      <w:r>
        <w:rPr>
          <w:rFonts w:hint="eastAsia"/>
          <w:sz w:val="24"/>
        </w:rPr>
        <w:t>截至2016年6月，2005级ACCA实验班已有20余人全科通过14门ACCA课程考试；2006级ACCA实验班已有15人全科合格；2007级ACCA实验班已有13人全科合格；2008级ACCA实验班已有13人全科合格；2009级ACCA实验班已有17人全科合格；2010级ACCA实验班已有22人全科合格，全科通过人数超过全班人数的三分之一；2011级ACCA实验班已有15人全科合格；2012级ACCA实验班已有16人全科合格；2013级ACCA实验班已有9人全科合格。201</w:t>
      </w:r>
      <w:r>
        <w:rPr>
          <w:sz w:val="24"/>
        </w:rPr>
        <w:t>4</w:t>
      </w:r>
      <w:r>
        <w:rPr>
          <w:rFonts w:hint="eastAsia"/>
          <w:sz w:val="24"/>
        </w:rPr>
        <w:t>级ACCA实验班已有</w:t>
      </w:r>
      <w:r>
        <w:rPr>
          <w:sz w:val="24"/>
        </w:rPr>
        <w:t>12</w:t>
      </w:r>
      <w:r>
        <w:rPr>
          <w:rFonts w:hint="eastAsia"/>
          <w:sz w:val="24"/>
        </w:rPr>
        <w:t>人全科合格，班级通过率达到四分之一。其中，1</w:t>
      </w:r>
      <w:r>
        <w:rPr>
          <w:sz w:val="24"/>
        </w:rPr>
        <w:t>4</w:t>
      </w:r>
      <w:r>
        <w:rPr>
          <w:rFonts w:hint="eastAsia"/>
          <w:sz w:val="24"/>
        </w:rPr>
        <w:t>位学生分别获得中国大陆考区第1名，3位学生在机考中获得满分。该班学生的就业去向主要是出国深造、“国际四大”、“世界五百强”及“大中型外资企业”。</w:t>
      </w:r>
    </w:p>
    <w:p>
      <w:pPr>
        <w:spacing w:line="500" w:lineRule="exact"/>
        <w:ind w:firstLine="504" w:firstLineChars="209"/>
        <w:rPr>
          <w:rFonts w:hint="eastAsia"/>
          <w:sz w:val="24"/>
        </w:rPr>
      </w:pPr>
      <w:r>
        <w:rPr>
          <w:rFonts w:hint="eastAsia"/>
          <w:b/>
          <w:bCs/>
          <w:sz w:val="24"/>
        </w:rPr>
        <w:t>二、ACCA项目的课程设置</w:t>
      </w:r>
    </w:p>
    <w:p>
      <w:pPr>
        <w:spacing w:line="500" w:lineRule="exact"/>
        <w:ind w:firstLine="501" w:firstLineChars="209"/>
        <w:rPr>
          <w:rFonts w:hint="eastAsia"/>
          <w:sz w:val="24"/>
        </w:rPr>
      </w:pPr>
      <w:r>
        <w:rPr>
          <w:rFonts w:hint="eastAsia"/>
          <w:sz w:val="24"/>
        </w:rPr>
        <w:t>目前我校的培养模式是学生在学习我校规定的必修基础课的同时，还要学习ACCA的1</w:t>
      </w:r>
      <w:r>
        <w:rPr>
          <w:sz w:val="24"/>
        </w:rPr>
        <w:t>3</w:t>
      </w:r>
      <w:r>
        <w:rPr>
          <w:rFonts w:hint="eastAsia"/>
          <w:sz w:val="24"/>
        </w:rPr>
        <w:t>门专业课程和专业认证课程。ACCA课程全部采用英文原版教材，由中南财经政法大学会计学院教师采用双语教学形式授课，并聘有外籍教师采用英文授课。</w:t>
      </w:r>
    </w:p>
    <w:p>
      <w:pPr>
        <w:rPr>
          <w:rFonts w:hint="eastAsia"/>
        </w:rPr>
      </w:pPr>
    </w:p>
    <w:tbl>
      <w:tblPr>
        <w:tblStyle w:val="6"/>
        <w:tblW w:w="8072" w:type="dxa"/>
        <w:jc w:val="center"/>
        <w:tblInd w:w="93" w:type="dxa"/>
        <w:tblLayout w:type="fixed"/>
        <w:tblCellMar>
          <w:top w:w="0" w:type="dxa"/>
          <w:left w:w="108" w:type="dxa"/>
          <w:bottom w:w="0" w:type="dxa"/>
          <w:right w:w="108" w:type="dxa"/>
        </w:tblCellMar>
      </w:tblPr>
      <w:tblGrid>
        <w:gridCol w:w="898"/>
        <w:gridCol w:w="1265"/>
        <w:gridCol w:w="2320"/>
        <w:gridCol w:w="3589"/>
      </w:tblGrid>
      <w:tr>
        <w:tblPrEx>
          <w:tblLayout w:type="fixed"/>
          <w:tblCellMar>
            <w:top w:w="0" w:type="dxa"/>
            <w:left w:w="108" w:type="dxa"/>
            <w:bottom w:w="0" w:type="dxa"/>
            <w:right w:w="108" w:type="dxa"/>
          </w:tblCellMar>
        </w:tblPrEx>
        <w:trPr>
          <w:trHeight w:val="35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b/>
                <w:color w:val="002060"/>
                <w:kern w:val="0"/>
                <w:szCs w:val="21"/>
              </w:rPr>
            </w:pPr>
            <w:r>
              <w:rPr>
                <w:rFonts w:hint="eastAsia" w:ascii="黑体" w:hAnsi="宋体" w:eastAsia="黑体" w:cs="宋体"/>
                <w:b/>
                <w:color w:val="002060"/>
                <w:kern w:val="0"/>
                <w:szCs w:val="21"/>
              </w:rPr>
              <w:t>课程</w:t>
            </w:r>
          </w:p>
          <w:p>
            <w:pPr>
              <w:widowControl/>
              <w:jc w:val="center"/>
              <w:rPr>
                <w:rFonts w:ascii="黑体" w:hAnsi="宋体" w:eastAsia="黑体" w:cs="宋体"/>
                <w:b/>
                <w:color w:val="002060"/>
                <w:kern w:val="0"/>
                <w:szCs w:val="21"/>
              </w:rPr>
            </w:pPr>
            <w:r>
              <w:rPr>
                <w:rFonts w:hint="eastAsia" w:ascii="黑体" w:hAnsi="宋体" w:eastAsia="黑体" w:cs="宋体"/>
                <w:b/>
                <w:color w:val="002060"/>
                <w:kern w:val="0"/>
                <w:szCs w:val="21"/>
              </w:rPr>
              <w:t>类别</w:t>
            </w:r>
          </w:p>
        </w:tc>
        <w:tc>
          <w:tcPr>
            <w:tcW w:w="1265" w:type="dxa"/>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b/>
                <w:color w:val="002060"/>
                <w:kern w:val="0"/>
                <w:szCs w:val="21"/>
              </w:rPr>
            </w:pPr>
            <w:r>
              <w:rPr>
                <w:rFonts w:hint="eastAsia" w:ascii="黑体" w:hAnsi="宋体" w:eastAsia="黑体" w:cs="宋体"/>
                <w:b/>
                <w:color w:val="002060"/>
                <w:kern w:val="0"/>
                <w:szCs w:val="21"/>
              </w:rPr>
              <w:t>课程</w:t>
            </w:r>
          </w:p>
          <w:p>
            <w:pPr>
              <w:widowControl/>
              <w:jc w:val="center"/>
              <w:rPr>
                <w:rFonts w:ascii="黑体" w:hAnsi="宋体" w:eastAsia="黑体" w:cs="宋体"/>
                <w:b/>
                <w:color w:val="002060"/>
                <w:kern w:val="0"/>
                <w:szCs w:val="21"/>
              </w:rPr>
            </w:pPr>
            <w:r>
              <w:rPr>
                <w:rFonts w:hint="eastAsia" w:ascii="黑体" w:hAnsi="宋体" w:eastAsia="黑体" w:cs="宋体"/>
                <w:b/>
                <w:color w:val="002060"/>
                <w:kern w:val="0"/>
                <w:szCs w:val="21"/>
              </w:rPr>
              <w:t>序号</w:t>
            </w:r>
          </w:p>
        </w:tc>
        <w:tc>
          <w:tcPr>
            <w:tcW w:w="23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color w:val="002060"/>
                <w:kern w:val="0"/>
                <w:szCs w:val="21"/>
              </w:rPr>
            </w:pPr>
            <w:r>
              <w:rPr>
                <w:rFonts w:hint="eastAsia" w:ascii="黑体" w:hAnsi="宋体" w:eastAsia="黑体" w:cs="宋体"/>
                <w:b/>
                <w:color w:val="002060"/>
                <w:kern w:val="0"/>
                <w:szCs w:val="21"/>
              </w:rPr>
              <w:t>课程名称（中）</w:t>
            </w:r>
          </w:p>
        </w:tc>
        <w:tc>
          <w:tcPr>
            <w:tcW w:w="358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color w:val="002060"/>
                <w:kern w:val="0"/>
                <w:szCs w:val="21"/>
              </w:rPr>
            </w:pPr>
            <w:r>
              <w:rPr>
                <w:rFonts w:hint="eastAsia" w:ascii="黑体" w:hAnsi="宋体" w:eastAsia="黑体" w:cs="宋体"/>
                <w:b/>
                <w:color w:val="002060"/>
                <w:kern w:val="0"/>
                <w:szCs w:val="21"/>
              </w:rPr>
              <w:t>课程名称（英）</w:t>
            </w:r>
          </w:p>
        </w:tc>
      </w:tr>
      <w:tr>
        <w:tblPrEx>
          <w:tblLayout w:type="fixed"/>
          <w:tblCellMar>
            <w:top w:w="0" w:type="dxa"/>
            <w:left w:w="108" w:type="dxa"/>
            <w:bottom w:w="0" w:type="dxa"/>
            <w:right w:w="108" w:type="dxa"/>
          </w:tblCellMar>
        </w:tblPrEx>
        <w:trPr>
          <w:trHeight w:val="380" w:hRule="atLeast"/>
          <w:jc w:val="center"/>
        </w:trPr>
        <w:tc>
          <w:tcPr>
            <w:tcW w:w="89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2060"/>
                <w:kern w:val="0"/>
                <w:szCs w:val="21"/>
              </w:rPr>
            </w:pPr>
            <w:r>
              <w:rPr>
                <w:rFonts w:hint="eastAsia" w:ascii="宋体" w:hAnsi="宋体" w:cs="宋体"/>
                <w:color w:val="002060"/>
                <w:kern w:val="0"/>
                <w:szCs w:val="21"/>
              </w:rPr>
              <w:t>知识</w:t>
            </w:r>
          </w:p>
          <w:p>
            <w:pPr>
              <w:widowControl/>
              <w:jc w:val="center"/>
              <w:rPr>
                <w:rFonts w:ascii="宋体" w:hAnsi="宋体" w:cs="宋体"/>
                <w:color w:val="002060"/>
                <w:kern w:val="0"/>
                <w:szCs w:val="21"/>
              </w:rPr>
            </w:pPr>
            <w:r>
              <w:rPr>
                <w:rFonts w:hint="eastAsia" w:ascii="宋体" w:hAnsi="宋体" w:cs="宋体"/>
                <w:color w:val="002060"/>
                <w:kern w:val="0"/>
                <w:szCs w:val="21"/>
              </w:rPr>
              <w:t>课程</w:t>
            </w: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F1</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企业中的会计师</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Accountant in Business</w:t>
            </w:r>
          </w:p>
        </w:tc>
      </w:tr>
      <w:tr>
        <w:tblPrEx>
          <w:tblLayout w:type="fixed"/>
          <w:tblCellMar>
            <w:top w:w="0" w:type="dxa"/>
            <w:left w:w="108" w:type="dxa"/>
            <w:bottom w:w="0" w:type="dxa"/>
            <w:right w:w="108" w:type="dxa"/>
          </w:tblCellMar>
        </w:tblPrEx>
        <w:trPr>
          <w:trHeight w:val="38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F2</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管理会计</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Management Accounting</w:t>
            </w:r>
          </w:p>
        </w:tc>
      </w:tr>
      <w:tr>
        <w:tblPrEx>
          <w:tblLayout w:type="fixed"/>
          <w:tblCellMar>
            <w:top w:w="0" w:type="dxa"/>
            <w:left w:w="108" w:type="dxa"/>
            <w:bottom w:w="0" w:type="dxa"/>
            <w:right w:w="108" w:type="dxa"/>
          </w:tblCellMar>
        </w:tblPrEx>
        <w:trPr>
          <w:trHeight w:val="38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F3</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财务会计</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Financial Accounting</w:t>
            </w:r>
          </w:p>
        </w:tc>
      </w:tr>
      <w:tr>
        <w:tblPrEx>
          <w:tblLayout w:type="fixed"/>
          <w:tblCellMar>
            <w:top w:w="0" w:type="dxa"/>
            <w:left w:w="108" w:type="dxa"/>
            <w:bottom w:w="0" w:type="dxa"/>
            <w:right w:w="108" w:type="dxa"/>
          </w:tblCellMar>
        </w:tblPrEx>
        <w:trPr>
          <w:trHeight w:val="380" w:hRule="atLeast"/>
          <w:jc w:val="center"/>
        </w:trPr>
        <w:tc>
          <w:tcPr>
            <w:tcW w:w="89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2060"/>
                <w:kern w:val="0"/>
                <w:szCs w:val="21"/>
              </w:rPr>
            </w:pPr>
            <w:r>
              <w:rPr>
                <w:rFonts w:hint="eastAsia" w:ascii="宋体" w:hAnsi="宋体" w:cs="宋体"/>
                <w:color w:val="002060"/>
                <w:kern w:val="0"/>
                <w:szCs w:val="21"/>
              </w:rPr>
              <w:t>技能</w:t>
            </w:r>
          </w:p>
          <w:p>
            <w:pPr>
              <w:widowControl/>
              <w:jc w:val="center"/>
              <w:rPr>
                <w:rFonts w:ascii="宋体" w:hAnsi="宋体" w:cs="宋体"/>
                <w:color w:val="002060"/>
                <w:kern w:val="0"/>
                <w:szCs w:val="21"/>
              </w:rPr>
            </w:pPr>
            <w:r>
              <w:rPr>
                <w:rFonts w:hint="eastAsia" w:ascii="宋体" w:hAnsi="宋体" w:cs="宋体"/>
                <w:color w:val="002060"/>
                <w:kern w:val="0"/>
                <w:szCs w:val="21"/>
              </w:rPr>
              <w:t>课程</w:t>
            </w: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F4</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公司与商法</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Corporate and Business Law</w:t>
            </w:r>
          </w:p>
        </w:tc>
      </w:tr>
      <w:tr>
        <w:tblPrEx>
          <w:tblLayout w:type="fixed"/>
          <w:tblCellMar>
            <w:top w:w="0" w:type="dxa"/>
            <w:left w:w="108" w:type="dxa"/>
            <w:bottom w:w="0" w:type="dxa"/>
            <w:right w:w="108" w:type="dxa"/>
          </w:tblCellMar>
        </w:tblPrEx>
        <w:trPr>
          <w:trHeight w:val="38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F5</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业绩管理</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Performance Management</w:t>
            </w:r>
          </w:p>
        </w:tc>
      </w:tr>
      <w:tr>
        <w:tblPrEx>
          <w:tblLayout w:type="fixed"/>
          <w:tblCellMar>
            <w:top w:w="0" w:type="dxa"/>
            <w:left w:w="108" w:type="dxa"/>
            <w:bottom w:w="0" w:type="dxa"/>
            <w:right w:w="108" w:type="dxa"/>
          </w:tblCellMar>
        </w:tblPrEx>
        <w:trPr>
          <w:trHeight w:val="38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F6</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税务</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Taxation</w:t>
            </w:r>
          </w:p>
        </w:tc>
      </w:tr>
      <w:tr>
        <w:tblPrEx>
          <w:tblLayout w:type="fixed"/>
          <w:tblCellMar>
            <w:top w:w="0" w:type="dxa"/>
            <w:left w:w="108" w:type="dxa"/>
            <w:bottom w:w="0" w:type="dxa"/>
            <w:right w:w="108" w:type="dxa"/>
          </w:tblCellMar>
        </w:tblPrEx>
        <w:trPr>
          <w:trHeight w:val="38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F7</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财务报告</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Financial Reporting</w:t>
            </w:r>
          </w:p>
        </w:tc>
      </w:tr>
      <w:tr>
        <w:tblPrEx>
          <w:tblLayout w:type="fixed"/>
          <w:tblCellMar>
            <w:top w:w="0" w:type="dxa"/>
            <w:left w:w="108" w:type="dxa"/>
            <w:bottom w:w="0" w:type="dxa"/>
            <w:right w:w="108" w:type="dxa"/>
          </w:tblCellMar>
        </w:tblPrEx>
        <w:trPr>
          <w:trHeight w:val="38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F8</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审计与鉴证</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Audit and Assurance</w:t>
            </w:r>
          </w:p>
        </w:tc>
      </w:tr>
      <w:tr>
        <w:tblPrEx>
          <w:tblLayout w:type="fixed"/>
          <w:tblCellMar>
            <w:top w:w="0" w:type="dxa"/>
            <w:left w:w="108" w:type="dxa"/>
            <w:bottom w:w="0" w:type="dxa"/>
            <w:right w:w="108" w:type="dxa"/>
          </w:tblCellMar>
        </w:tblPrEx>
        <w:trPr>
          <w:trHeight w:val="38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F9</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财务管理</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Financial Management</w:t>
            </w:r>
          </w:p>
        </w:tc>
      </w:tr>
      <w:tr>
        <w:tblPrEx>
          <w:tblLayout w:type="fixed"/>
          <w:tblCellMar>
            <w:top w:w="0" w:type="dxa"/>
            <w:left w:w="108" w:type="dxa"/>
            <w:bottom w:w="0" w:type="dxa"/>
            <w:right w:w="108" w:type="dxa"/>
          </w:tblCellMar>
        </w:tblPrEx>
        <w:trPr>
          <w:trHeight w:val="356" w:hRule="atLeast"/>
          <w:jc w:val="center"/>
        </w:trPr>
        <w:tc>
          <w:tcPr>
            <w:tcW w:w="807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
                <w:color w:val="002060"/>
                <w:kern w:val="0"/>
                <w:szCs w:val="21"/>
              </w:rPr>
            </w:pPr>
          </w:p>
          <w:p>
            <w:pPr>
              <w:widowControl/>
              <w:jc w:val="center"/>
              <w:rPr>
                <w:rFonts w:ascii="黑体" w:hAnsi="宋体" w:eastAsia="黑体" w:cs="宋体"/>
                <w:b/>
                <w:color w:val="002060"/>
                <w:kern w:val="0"/>
                <w:szCs w:val="21"/>
              </w:rPr>
            </w:pPr>
            <w:r>
              <w:rPr>
                <w:rFonts w:hint="eastAsia" w:ascii="黑体" w:hAnsi="宋体" w:eastAsia="黑体" w:cs="宋体"/>
                <w:b/>
                <w:color w:val="002060"/>
                <w:kern w:val="0"/>
                <w:szCs w:val="21"/>
              </w:rPr>
              <w:t>专业阶段课程</w:t>
            </w:r>
          </w:p>
        </w:tc>
      </w:tr>
      <w:tr>
        <w:tblPrEx>
          <w:tblLayout w:type="fixed"/>
          <w:tblCellMar>
            <w:top w:w="0" w:type="dxa"/>
            <w:left w:w="108" w:type="dxa"/>
            <w:bottom w:w="0" w:type="dxa"/>
            <w:right w:w="108" w:type="dxa"/>
          </w:tblCellMar>
        </w:tblPrEx>
        <w:trPr>
          <w:trHeight w:val="380" w:hRule="atLeast"/>
          <w:jc w:val="center"/>
        </w:trPr>
        <w:tc>
          <w:tcPr>
            <w:tcW w:w="89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2060"/>
                <w:kern w:val="0"/>
                <w:szCs w:val="21"/>
              </w:rPr>
            </w:pPr>
            <w:r>
              <w:rPr>
                <w:rFonts w:hint="eastAsia" w:ascii="宋体" w:hAnsi="宋体" w:cs="宋体"/>
                <w:color w:val="002060"/>
                <w:kern w:val="0"/>
                <w:szCs w:val="21"/>
              </w:rPr>
              <w:t>核心</w:t>
            </w:r>
          </w:p>
          <w:p>
            <w:pPr>
              <w:widowControl/>
              <w:jc w:val="center"/>
              <w:rPr>
                <w:rFonts w:ascii="宋体" w:hAnsi="宋体" w:cs="宋体"/>
                <w:color w:val="002060"/>
                <w:kern w:val="0"/>
                <w:szCs w:val="21"/>
              </w:rPr>
            </w:pPr>
            <w:r>
              <w:rPr>
                <w:rFonts w:hint="eastAsia" w:ascii="宋体" w:hAnsi="宋体" w:cs="宋体"/>
                <w:color w:val="002060"/>
                <w:kern w:val="0"/>
                <w:szCs w:val="21"/>
              </w:rPr>
              <w:t>课程</w:t>
            </w: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P1</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战略商业领袖</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Strategic Business Leader</w:t>
            </w:r>
          </w:p>
        </w:tc>
      </w:tr>
      <w:tr>
        <w:tblPrEx>
          <w:tblLayout w:type="fixed"/>
          <w:tblCellMar>
            <w:top w:w="0" w:type="dxa"/>
            <w:left w:w="108" w:type="dxa"/>
            <w:bottom w:w="0" w:type="dxa"/>
            <w:right w:w="108" w:type="dxa"/>
          </w:tblCellMar>
        </w:tblPrEx>
        <w:trPr>
          <w:trHeight w:val="38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P2</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战略公司报告</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Strategic Business Reporting</w:t>
            </w:r>
          </w:p>
        </w:tc>
      </w:tr>
      <w:tr>
        <w:tblPrEx>
          <w:tblLayout w:type="fixed"/>
          <w:tblCellMar>
            <w:top w:w="0" w:type="dxa"/>
            <w:left w:w="108" w:type="dxa"/>
            <w:bottom w:w="0" w:type="dxa"/>
            <w:right w:w="108" w:type="dxa"/>
          </w:tblCellMar>
        </w:tblPrEx>
        <w:trPr>
          <w:trHeight w:val="380" w:hRule="atLeast"/>
          <w:jc w:val="center"/>
        </w:trPr>
        <w:tc>
          <w:tcPr>
            <w:tcW w:w="89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002060"/>
                <w:kern w:val="0"/>
                <w:szCs w:val="21"/>
              </w:rPr>
            </w:pPr>
            <w:r>
              <w:rPr>
                <w:rFonts w:hint="eastAsia" w:ascii="宋体" w:hAnsi="宋体" w:cs="宋体"/>
                <w:color w:val="002060"/>
                <w:kern w:val="0"/>
                <w:szCs w:val="21"/>
              </w:rPr>
              <w:t>选修</w:t>
            </w:r>
          </w:p>
          <w:p>
            <w:pPr>
              <w:widowControl/>
              <w:jc w:val="center"/>
              <w:rPr>
                <w:rFonts w:hint="eastAsia" w:ascii="宋体" w:hAnsi="宋体" w:cs="宋体"/>
                <w:color w:val="002060"/>
                <w:kern w:val="0"/>
                <w:szCs w:val="21"/>
              </w:rPr>
            </w:pPr>
            <w:r>
              <w:rPr>
                <w:rFonts w:hint="eastAsia" w:ascii="宋体" w:hAnsi="宋体" w:cs="宋体"/>
                <w:color w:val="002060"/>
                <w:kern w:val="0"/>
                <w:szCs w:val="21"/>
              </w:rPr>
              <w:t>课程</w:t>
            </w:r>
          </w:p>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P4</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高级财务管理</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Advanced</w:t>
            </w:r>
            <w:r>
              <w:rPr>
                <w:rFonts w:hint="eastAsia"/>
                <w:color w:val="002060"/>
                <w:kern w:val="0"/>
                <w:szCs w:val="21"/>
              </w:rPr>
              <w:t xml:space="preserve"> </w:t>
            </w:r>
            <w:r>
              <w:rPr>
                <w:color w:val="002060"/>
                <w:kern w:val="0"/>
                <w:szCs w:val="21"/>
              </w:rPr>
              <w:t>Financial Management</w:t>
            </w:r>
          </w:p>
        </w:tc>
      </w:tr>
      <w:tr>
        <w:tblPrEx>
          <w:tblLayout w:type="fixed"/>
          <w:tblCellMar>
            <w:top w:w="0" w:type="dxa"/>
            <w:left w:w="108" w:type="dxa"/>
            <w:bottom w:w="0" w:type="dxa"/>
            <w:right w:w="108" w:type="dxa"/>
          </w:tblCellMar>
        </w:tblPrEx>
        <w:trPr>
          <w:trHeight w:val="292"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P5</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高级业绩管理</w:t>
            </w:r>
          </w:p>
        </w:tc>
        <w:tc>
          <w:tcPr>
            <w:tcW w:w="3589"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Advanced Performance Management</w:t>
            </w:r>
          </w:p>
        </w:tc>
      </w:tr>
      <w:tr>
        <w:tblPrEx>
          <w:tblLayout w:type="fixed"/>
          <w:tblCellMar>
            <w:top w:w="0" w:type="dxa"/>
            <w:left w:w="108" w:type="dxa"/>
            <w:bottom w:w="0" w:type="dxa"/>
            <w:right w:w="108" w:type="dxa"/>
          </w:tblCellMar>
        </w:tblPrEx>
        <w:trPr>
          <w:trHeight w:val="38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P6</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高级税务</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Advanced Taxation</w:t>
            </w:r>
          </w:p>
        </w:tc>
      </w:tr>
      <w:tr>
        <w:tblPrEx>
          <w:tblLayout w:type="fixed"/>
          <w:tblCellMar>
            <w:top w:w="0" w:type="dxa"/>
            <w:left w:w="108" w:type="dxa"/>
            <w:bottom w:w="0" w:type="dxa"/>
            <w:right w:w="108" w:type="dxa"/>
          </w:tblCellMar>
        </w:tblPrEx>
        <w:trPr>
          <w:trHeight w:val="380" w:hRule="atLeast"/>
          <w:jc w:val="center"/>
        </w:trPr>
        <w:tc>
          <w:tcPr>
            <w:tcW w:w="89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2060"/>
                <w:kern w:val="0"/>
                <w:szCs w:val="21"/>
              </w:rPr>
            </w:pPr>
          </w:p>
        </w:tc>
        <w:tc>
          <w:tcPr>
            <w:tcW w:w="1265" w:type="dxa"/>
            <w:tcBorders>
              <w:top w:val="nil"/>
              <w:left w:val="nil"/>
              <w:bottom w:val="single" w:color="auto" w:sz="4" w:space="0"/>
              <w:right w:val="single" w:color="auto" w:sz="4" w:space="0"/>
            </w:tcBorders>
            <w:vAlign w:val="center"/>
          </w:tcPr>
          <w:p>
            <w:pPr>
              <w:widowControl/>
              <w:jc w:val="center"/>
              <w:rPr>
                <w:color w:val="002060"/>
                <w:kern w:val="0"/>
                <w:szCs w:val="21"/>
              </w:rPr>
            </w:pPr>
            <w:r>
              <w:rPr>
                <w:color w:val="002060"/>
                <w:kern w:val="0"/>
                <w:szCs w:val="21"/>
              </w:rPr>
              <w:t>P7</w:t>
            </w:r>
          </w:p>
        </w:tc>
        <w:tc>
          <w:tcPr>
            <w:tcW w:w="2320" w:type="dxa"/>
            <w:tcBorders>
              <w:top w:val="nil"/>
              <w:left w:val="nil"/>
              <w:bottom w:val="single" w:color="auto" w:sz="4" w:space="0"/>
              <w:right w:val="single" w:color="auto" w:sz="4" w:space="0"/>
            </w:tcBorders>
            <w:vAlign w:val="center"/>
          </w:tcPr>
          <w:p>
            <w:pPr>
              <w:widowControl/>
              <w:jc w:val="center"/>
              <w:rPr>
                <w:rFonts w:ascii="宋体" w:hAnsi="宋体" w:cs="宋体"/>
                <w:color w:val="002060"/>
                <w:kern w:val="0"/>
                <w:szCs w:val="21"/>
              </w:rPr>
            </w:pPr>
            <w:r>
              <w:rPr>
                <w:rFonts w:hint="eastAsia" w:ascii="宋体" w:hAnsi="宋体" w:cs="宋体"/>
                <w:color w:val="002060"/>
                <w:kern w:val="0"/>
                <w:szCs w:val="21"/>
              </w:rPr>
              <w:t>高级审计与鉴证</w:t>
            </w:r>
          </w:p>
        </w:tc>
        <w:tc>
          <w:tcPr>
            <w:tcW w:w="3589" w:type="dxa"/>
            <w:tcBorders>
              <w:top w:val="nil"/>
              <w:left w:val="nil"/>
              <w:bottom w:val="single" w:color="auto" w:sz="4" w:space="0"/>
              <w:right w:val="single" w:color="auto" w:sz="4" w:space="0"/>
            </w:tcBorders>
            <w:vAlign w:val="top"/>
          </w:tcPr>
          <w:p>
            <w:pPr>
              <w:widowControl/>
              <w:jc w:val="center"/>
              <w:rPr>
                <w:color w:val="002060"/>
                <w:kern w:val="0"/>
                <w:szCs w:val="21"/>
              </w:rPr>
            </w:pPr>
            <w:r>
              <w:rPr>
                <w:color w:val="002060"/>
                <w:kern w:val="0"/>
                <w:szCs w:val="21"/>
              </w:rPr>
              <w:t>Advanced Audit and Assurance</w:t>
            </w:r>
          </w:p>
        </w:tc>
      </w:tr>
    </w:tbl>
    <w:p>
      <w:pPr>
        <w:rPr>
          <w:rFonts w:hint="eastAsia"/>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泉驛等寬正黑">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A57EF"/>
    <w:rsid w:val="4D0A57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2018-08-29T03:13:00Z</dcterms:created>
  <dc:creator>Administrator</dc:creator>
  <cp:lastModifiedBy>Administrator</cp:lastModifiedBy>
  <dcterms:modified xsi:type="dcterms:W3CDTF">2018-08-29T03:13:36Z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