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420" w:firstLine="810" w:firstLineChars="224"/>
        <w:rPr>
          <w:rFonts w:hint="eastAsia" w:ascii="楷体_GB2312" w:eastAsia="楷体_GB2312"/>
          <w:b/>
          <w:sz w:val="36"/>
          <w:szCs w:val="36"/>
        </w:rPr>
      </w:pPr>
      <w:r>
        <w:rPr>
          <w:rFonts w:hint="eastAsia" w:ascii="楷体_GB2312" w:eastAsia="楷体_GB2312"/>
          <w:b/>
          <w:sz w:val="36"/>
          <w:szCs w:val="36"/>
        </w:rPr>
        <w:t>附件：</w:t>
      </w:r>
      <w:bookmarkStart w:id="0" w:name="_GoBack"/>
      <w:bookmarkEnd w:id="0"/>
    </w:p>
    <w:p>
      <w:pPr>
        <w:spacing w:line="300" w:lineRule="auto"/>
        <w:ind w:firstLine="482" w:firstLineChars="200"/>
        <w:rPr>
          <w:rFonts w:hint="eastAsia" w:ascii="楷体_GB2312" w:eastAsia="楷体_GB2312"/>
          <w:b/>
          <w:sz w:val="24"/>
        </w:rPr>
      </w:pPr>
      <w:r>
        <w:rPr>
          <w:rFonts w:hint="eastAsia" w:ascii="楷体_GB2312" w:hAnsi="宋体" w:eastAsia="楷体_GB2312"/>
          <w:b/>
          <w:sz w:val="24"/>
        </w:rPr>
        <w:t>一、合作伙伴——澳大利亚科廷大学商学院和中南财经政法大学会计学院</w:t>
      </w:r>
    </w:p>
    <w:p>
      <w:pPr>
        <w:spacing w:line="300" w:lineRule="auto"/>
        <w:ind w:firstLine="472" w:firstLineChars="224"/>
        <w:jc w:val="left"/>
        <w:rPr>
          <w:rFonts w:hint="eastAsia" w:ascii="宋体" w:hAnsi="宋体"/>
          <w:b/>
          <w:szCs w:val="21"/>
        </w:rPr>
      </w:pPr>
      <w:r>
        <w:rPr>
          <w:rFonts w:hint="eastAsia" w:ascii="宋体" w:hAnsi="宋体"/>
          <w:b/>
          <w:szCs w:val="21"/>
        </w:rPr>
        <w:t>（一）澳大利亚科廷大学商学院</w:t>
      </w:r>
    </w:p>
    <w:p>
      <w:pPr>
        <w:spacing w:line="300" w:lineRule="auto"/>
        <w:ind w:firstLine="470" w:firstLineChars="224"/>
        <w:jc w:val="left"/>
        <w:rPr>
          <w:rFonts w:hint="eastAsia" w:ascii="宋体" w:hAnsi="宋体"/>
          <w:szCs w:val="21"/>
        </w:rPr>
      </w:pPr>
      <w:r>
        <w:rPr>
          <w:rFonts w:hint="eastAsia" w:ascii="宋体" w:hAnsi="宋体"/>
          <w:szCs w:val="21"/>
        </w:rPr>
        <w:t>澳大利亚科廷大学建于1932年，位于澳大利亚西部佩斯市（Perth），曾连续三年被《亚洲周刊》评为澳大利亚一流的科技大学，是我国承认文凭的38所澳大利亚大学之一。</w:t>
      </w:r>
    </w:p>
    <w:p>
      <w:pPr>
        <w:spacing w:line="300" w:lineRule="auto"/>
        <w:ind w:firstLine="470" w:firstLineChars="224"/>
        <w:jc w:val="left"/>
        <w:rPr>
          <w:rFonts w:hint="eastAsia" w:ascii="宋体" w:hAnsi="宋体"/>
          <w:szCs w:val="21"/>
        </w:rPr>
      </w:pPr>
      <w:r>
        <w:rPr>
          <w:rFonts w:hint="eastAsia" w:ascii="宋体" w:hAnsi="宋体"/>
          <w:szCs w:val="21"/>
        </w:rPr>
        <w:t>科廷大学现有在校学生46000多人，包括来自95个国家的5000多名留学生，是西澳大利亚接纳外国留学生最多的大学。科廷大学下设商学院等5个学院。其中商学院是澳大利亚最具实力的商学院之一，在亚太地区享有盛誉。科廷大学商学院（CBS</w:t>
      </w:r>
      <w:r>
        <w:rPr>
          <w:rFonts w:ascii="宋体" w:hAnsi="宋体"/>
          <w:szCs w:val="21"/>
        </w:rPr>
        <w:t>）</w:t>
      </w:r>
      <w:r>
        <w:rPr>
          <w:rFonts w:hint="eastAsia" w:ascii="宋体" w:hAnsi="宋体"/>
          <w:szCs w:val="21"/>
        </w:rPr>
        <w:t>于2016年4月获得AACSB（</w:t>
      </w:r>
      <w:r>
        <w:rPr>
          <w:rFonts w:ascii="宋体" w:hAnsi="宋体"/>
          <w:szCs w:val="21"/>
        </w:rPr>
        <w:t>全球权威商学院</w:t>
      </w:r>
      <w:r>
        <w:rPr>
          <w:rFonts w:hint="eastAsia" w:ascii="宋体" w:hAnsi="宋体"/>
          <w:szCs w:val="21"/>
        </w:rPr>
        <w:t>）认证。</w:t>
      </w:r>
    </w:p>
    <w:p>
      <w:pPr>
        <w:spacing w:line="300" w:lineRule="auto"/>
        <w:ind w:firstLine="422" w:firstLineChars="200"/>
        <w:outlineLvl w:val="0"/>
        <w:rPr>
          <w:rFonts w:hint="eastAsia" w:ascii="宋体" w:hAnsi="宋体"/>
          <w:b/>
          <w:szCs w:val="21"/>
        </w:rPr>
      </w:pPr>
      <w:r>
        <w:rPr>
          <w:rFonts w:hint="eastAsia" w:ascii="宋体" w:hAnsi="宋体"/>
          <w:b/>
          <w:szCs w:val="21"/>
        </w:rPr>
        <w:t>（二）中南财经政法大学会计学院</w:t>
      </w:r>
    </w:p>
    <w:p>
      <w:pPr>
        <w:spacing w:line="300" w:lineRule="auto"/>
        <w:ind w:firstLine="470" w:firstLineChars="224"/>
        <w:jc w:val="left"/>
        <w:rPr>
          <w:rFonts w:hint="eastAsia" w:ascii="宋体" w:hAnsi="宋体"/>
          <w:szCs w:val="21"/>
        </w:rPr>
      </w:pPr>
      <w:r>
        <w:rPr>
          <w:rFonts w:hint="eastAsia" w:ascii="宋体" w:hAnsi="宋体"/>
          <w:szCs w:val="21"/>
        </w:rPr>
        <w:t>中南财经政法大学是教育部直属普通高等学校，是国家“211工程”高校和“985工程优势学科创新平台”项目重点建设高校，以及教育部、财政部和湖北省人民政府共建高校。</w:t>
      </w:r>
    </w:p>
    <w:p>
      <w:pPr>
        <w:spacing w:line="300" w:lineRule="auto"/>
        <w:ind w:firstLine="470" w:firstLineChars="224"/>
        <w:jc w:val="left"/>
        <w:rPr>
          <w:rFonts w:hint="eastAsia" w:ascii="宋体" w:hAnsi="宋体"/>
          <w:szCs w:val="21"/>
        </w:rPr>
      </w:pPr>
      <w:r>
        <w:rPr>
          <w:rFonts w:hint="eastAsia" w:ascii="宋体" w:hAnsi="宋体"/>
          <w:szCs w:val="21"/>
        </w:rPr>
        <w:t>中南财经政法大学会计学院前身是1949年成立的中原大学财经学院和1952年全国高校院系调整时由中南地区六省二市主要院校会计学师资集中组建而成的会计系，学院正式成立于1999年，现已拥有国家级重点学科、国家级特色专业、国家级教学团队、财政部重点学科、湖北省优势学科、湖北省品牌专业、湖北省财会工作先进集体、湖北省拔尖创新型国际会计人才培育试验区、湖北省人文社科重点研究基地、与财政部共建的政府会计研究所、10余门国家级精品课程、双语示范课程、资源共享课程和慕课。</w:t>
      </w:r>
    </w:p>
    <w:p>
      <w:pPr>
        <w:spacing w:line="300" w:lineRule="auto"/>
        <w:ind w:firstLine="470" w:firstLineChars="224"/>
        <w:jc w:val="left"/>
        <w:rPr>
          <w:rFonts w:hint="eastAsia" w:ascii="宋体" w:hAnsi="宋体"/>
          <w:szCs w:val="21"/>
        </w:rPr>
      </w:pPr>
      <w:r>
        <w:rPr>
          <w:rFonts w:hint="eastAsia" w:ascii="宋体" w:hAnsi="宋体"/>
          <w:szCs w:val="21"/>
        </w:rPr>
        <w:t>会计学科是我国5个国家级重点会计学科之一，整体实力在全国高校同类院系和学科中位居前列。</w:t>
      </w:r>
    </w:p>
    <w:p>
      <w:pPr>
        <w:spacing w:line="300" w:lineRule="auto"/>
        <w:ind w:firstLine="470" w:firstLineChars="224"/>
        <w:jc w:val="left"/>
        <w:rPr>
          <w:rFonts w:hint="eastAsia" w:ascii="宋体" w:hAnsi="宋体"/>
          <w:szCs w:val="21"/>
        </w:rPr>
      </w:pPr>
      <w:r>
        <w:rPr>
          <w:rFonts w:hint="eastAsia" w:ascii="宋体" w:hAnsi="宋体"/>
          <w:szCs w:val="21"/>
        </w:rPr>
        <w:t>详见会计学院简介网址：</w:t>
      </w:r>
      <w:r>
        <w:rPr>
          <w:rFonts w:ascii="宋体" w:hAnsi="宋体"/>
          <w:szCs w:val="21"/>
        </w:rPr>
        <w:fldChar w:fldCharType="begin"/>
      </w:r>
      <w:r>
        <w:rPr>
          <w:rFonts w:ascii="宋体" w:hAnsi="宋体"/>
          <w:szCs w:val="21"/>
        </w:rPr>
        <w:instrText xml:space="preserve"> HYPERLINK "http://kjxy.zuel.edu.cn/3916/list.htm" </w:instrText>
      </w:r>
      <w:r>
        <w:rPr>
          <w:rFonts w:ascii="宋体" w:hAnsi="宋体"/>
          <w:szCs w:val="21"/>
        </w:rPr>
        <w:fldChar w:fldCharType="separate"/>
      </w:r>
      <w:r>
        <w:rPr>
          <w:rFonts w:ascii="宋体" w:hAnsi="宋体"/>
          <w:szCs w:val="21"/>
        </w:rPr>
        <w:t>http://kjxy.zuel.edu.cn/3916/list.htm</w:t>
      </w:r>
      <w:r>
        <w:rPr>
          <w:rFonts w:ascii="宋体" w:hAnsi="宋体"/>
          <w:szCs w:val="21"/>
        </w:rPr>
        <w:fldChar w:fldCharType="end"/>
      </w:r>
    </w:p>
    <w:p>
      <w:pPr>
        <w:spacing w:line="300" w:lineRule="auto"/>
        <w:ind w:firstLine="470" w:firstLineChars="224"/>
        <w:jc w:val="left"/>
        <w:rPr>
          <w:rFonts w:hint="eastAsia" w:ascii="宋体" w:hAnsi="宋体"/>
          <w:szCs w:val="21"/>
        </w:rPr>
      </w:pPr>
    </w:p>
    <w:p>
      <w:pPr>
        <w:spacing w:line="300" w:lineRule="auto"/>
        <w:ind w:firstLine="482" w:firstLineChars="200"/>
        <w:rPr>
          <w:rFonts w:hint="eastAsia" w:ascii="楷体_GB2312" w:hAnsi="宋体" w:eastAsia="楷体_GB2312"/>
          <w:b/>
          <w:sz w:val="24"/>
        </w:rPr>
      </w:pPr>
      <w:r>
        <w:rPr>
          <w:rFonts w:hint="eastAsia" w:ascii="楷体_GB2312" w:hAnsi="宋体" w:eastAsia="楷体_GB2312"/>
          <w:b/>
          <w:sz w:val="24"/>
        </w:rPr>
        <w:t>二、项目主要课程</w:t>
      </w:r>
    </w:p>
    <w:p>
      <w:pPr>
        <w:snapToGrid w:val="0"/>
        <w:spacing w:line="300" w:lineRule="auto"/>
        <w:ind w:firstLine="470" w:firstLineChars="224"/>
        <w:rPr>
          <w:rFonts w:hint="eastAsia" w:ascii="宋体" w:hAnsi="宋体"/>
          <w:szCs w:val="21"/>
        </w:rPr>
      </w:pPr>
      <w:r>
        <w:rPr>
          <w:rFonts w:hint="eastAsia" w:ascii="宋体" w:hAnsi="宋体"/>
          <w:szCs w:val="21"/>
        </w:rPr>
        <w:t>1.   我校教师与科廷大学共同授课的4门课程</w:t>
      </w:r>
    </w:p>
    <w:tbl>
      <w:tblPr>
        <w:tblStyle w:val="5"/>
        <w:tblW w:w="8245" w:type="dxa"/>
        <w:jc w:val="center"/>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700"/>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4" w:type="dxa"/>
            <w:vAlign w:val="center"/>
          </w:tcPr>
          <w:p>
            <w:pPr>
              <w:snapToGrid w:val="0"/>
              <w:spacing w:line="300" w:lineRule="auto"/>
              <w:jc w:val="center"/>
              <w:rPr>
                <w:rFonts w:hint="eastAsia" w:ascii="宋体" w:hAnsi="宋体"/>
                <w:b/>
                <w:szCs w:val="21"/>
              </w:rPr>
            </w:pPr>
            <w:r>
              <w:rPr>
                <w:rFonts w:hint="eastAsia" w:ascii="宋体" w:hAnsi="宋体"/>
                <w:b/>
                <w:szCs w:val="21"/>
              </w:rPr>
              <w:t>授课地点</w:t>
            </w:r>
          </w:p>
        </w:tc>
        <w:tc>
          <w:tcPr>
            <w:tcW w:w="2700" w:type="dxa"/>
            <w:vAlign w:val="center"/>
          </w:tcPr>
          <w:p>
            <w:pPr>
              <w:snapToGrid w:val="0"/>
              <w:spacing w:line="300" w:lineRule="auto"/>
              <w:jc w:val="center"/>
              <w:rPr>
                <w:rFonts w:hint="eastAsia" w:ascii="宋体" w:hAnsi="宋体"/>
                <w:b/>
                <w:szCs w:val="21"/>
              </w:rPr>
            </w:pPr>
            <w:r>
              <w:rPr>
                <w:rFonts w:hint="eastAsia" w:ascii="宋体" w:hAnsi="宋体"/>
                <w:b/>
                <w:szCs w:val="21"/>
              </w:rPr>
              <w:t>课程名称</w:t>
            </w:r>
          </w:p>
        </w:tc>
        <w:tc>
          <w:tcPr>
            <w:tcW w:w="3361" w:type="dxa"/>
            <w:vAlign w:val="center"/>
          </w:tcPr>
          <w:p>
            <w:pPr>
              <w:snapToGrid w:val="0"/>
              <w:spacing w:line="300"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84" w:type="dxa"/>
            <w:vAlign w:val="center"/>
          </w:tcPr>
          <w:p>
            <w:pPr>
              <w:snapToGrid w:val="0"/>
              <w:spacing w:line="300" w:lineRule="auto"/>
              <w:jc w:val="center"/>
              <w:rPr>
                <w:rFonts w:hint="eastAsia" w:ascii="宋体" w:hAnsi="宋体"/>
                <w:szCs w:val="21"/>
              </w:rPr>
            </w:pPr>
            <w:r>
              <w:rPr>
                <w:rFonts w:hint="eastAsia" w:ascii="宋体" w:hAnsi="宋体"/>
                <w:szCs w:val="21"/>
              </w:rPr>
              <w:t>中南财经政法大学</w:t>
            </w:r>
          </w:p>
        </w:tc>
        <w:tc>
          <w:tcPr>
            <w:tcW w:w="2700" w:type="dxa"/>
            <w:vAlign w:val="center"/>
          </w:tcPr>
          <w:p>
            <w:pPr>
              <w:snapToGrid w:val="0"/>
              <w:spacing w:line="300" w:lineRule="auto"/>
              <w:jc w:val="center"/>
              <w:rPr>
                <w:rFonts w:hint="eastAsia" w:ascii="宋体" w:hAnsi="宋体"/>
                <w:szCs w:val="21"/>
              </w:rPr>
            </w:pPr>
            <w:r>
              <w:rPr>
                <w:rFonts w:hint="eastAsia" w:ascii="宋体" w:hAnsi="宋体"/>
                <w:szCs w:val="21"/>
              </w:rPr>
              <w:t>财务模型</w:t>
            </w:r>
          </w:p>
        </w:tc>
        <w:tc>
          <w:tcPr>
            <w:tcW w:w="3361" w:type="dxa"/>
            <w:vMerge w:val="restart"/>
            <w:vAlign w:val="center"/>
          </w:tcPr>
          <w:p>
            <w:pPr>
              <w:snapToGrid w:val="0"/>
              <w:spacing w:line="300" w:lineRule="auto"/>
              <w:rPr>
                <w:rFonts w:hint="eastAsia" w:ascii="宋体" w:hAnsi="宋体"/>
                <w:szCs w:val="21"/>
              </w:rPr>
            </w:pPr>
            <w:r>
              <w:rPr>
                <w:rFonts w:hint="eastAsia" w:ascii="宋体" w:hAnsi="宋体"/>
                <w:szCs w:val="21"/>
              </w:rPr>
              <w:t>采用科廷大学的英文原版教材，以科廷大学提供的online网络课程体系教学。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84" w:type="dxa"/>
            <w:vAlign w:val="center"/>
          </w:tcPr>
          <w:p>
            <w:pPr>
              <w:snapToGrid w:val="0"/>
              <w:spacing w:line="300" w:lineRule="auto"/>
              <w:jc w:val="center"/>
              <w:rPr>
                <w:rFonts w:hint="eastAsia" w:ascii="宋体" w:hAnsi="宋体"/>
                <w:szCs w:val="21"/>
              </w:rPr>
            </w:pPr>
            <w:r>
              <w:rPr>
                <w:rFonts w:hint="eastAsia" w:ascii="宋体" w:hAnsi="宋体"/>
                <w:szCs w:val="21"/>
              </w:rPr>
              <w:t>中南财经政法大学</w:t>
            </w:r>
          </w:p>
        </w:tc>
        <w:tc>
          <w:tcPr>
            <w:tcW w:w="2700" w:type="dxa"/>
            <w:vAlign w:val="center"/>
          </w:tcPr>
          <w:p>
            <w:pPr>
              <w:snapToGrid w:val="0"/>
              <w:spacing w:line="300" w:lineRule="auto"/>
              <w:jc w:val="center"/>
              <w:rPr>
                <w:rFonts w:hint="eastAsia" w:ascii="宋体" w:hAnsi="宋体"/>
                <w:szCs w:val="21"/>
              </w:rPr>
            </w:pPr>
            <w:r>
              <w:rPr>
                <w:rFonts w:hint="eastAsia" w:ascii="宋体" w:hAnsi="宋体"/>
                <w:szCs w:val="21"/>
              </w:rPr>
              <w:t>会计管理专题</w:t>
            </w:r>
          </w:p>
        </w:tc>
        <w:tc>
          <w:tcPr>
            <w:tcW w:w="3361"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84" w:type="dxa"/>
            <w:vAlign w:val="center"/>
          </w:tcPr>
          <w:p>
            <w:pPr>
              <w:snapToGrid w:val="0"/>
              <w:spacing w:line="300" w:lineRule="auto"/>
              <w:jc w:val="center"/>
              <w:rPr>
                <w:rFonts w:hint="eastAsia" w:ascii="宋体" w:hAnsi="宋体"/>
                <w:szCs w:val="21"/>
              </w:rPr>
            </w:pPr>
            <w:r>
              <w:rPr>
                <w:rFonts w:hint="eastAsia" w:ascii="宋体" w:hAnsi="宋体"/>
                <w:szCs w:val="21"/>
              </w:rPr>
              <w:t>中南财经政法大学</w:t>
            </w:r>
          </w:p>
        </w:tc>
        <w:tc>
          <w:tcPr>
            <w:tcW w:w="2700" w:type="dxa"/>
            <w:vAlign w:val="center"/>
          </w:tcPr>
          <w:p>
            <w:pPr>
              <w:snapToGrid w:val="0"/>
              <w:spacing w:line="300" w:lineRule="auto"/>
              <w:jc w:val="center"/>
              <w:rPr>
                <w:rFonts w:hint="eastAsia" w:ascii="宋体" w:hAnsi="宋体"/>
                <w:szCs w:val="21"/>
              </w:rPr>
            </w:pPr>
            <w:r>
              <w:rPr>
                <w:rFonts w:hint="eastAsia" w:ascii="宋体" w:hAnsi="宋体"/>
                <w:szCs w:val="21"/>
              </w:rPr>
              <w:t>财务分析</w:t>
            </w:r>
          </w:p>
        </w:tc>
        <w:tc>
          <w:tcPr>
            <w:tcW w:w="3361"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84" w:type="dxa"/>
            <w:vAlign w:val="center"/>
          </w:tcPr>
          <w:p>
            <w:pPr>
              <w:snapToGrid w:val="0"/>
              <w:spacing w:line="300" w:lineRule="auto"/>
              <w:jc w:val="center"/>
              <w:rPr>
                <w:rFonts w:hint="eastAsia" w:ascii="宋体" w:hAnsi="宋体"/>
                <w:szCs w:val="21"/>
              </w:rPr>
            </w:pPr>
            <w:r>
              <w:rPr>
                <w:rFonts w:hint="eastAsia" w:ascii="宋体" w:hAnsi="宋体"/>
                <w:szCs w:val="21"/>
              </w:rPr>
              <w:t>中南财经政法大学</w:t>
            </w:r>
          </w:p>
        </w:tc>
        <w:tc>
          <w:tcPr>
            <w:tcW w:w="2700" w:type="dxa"/>
            <w:vAlign w:val="center"/>
          </w:tcPr>
          <w:p>
            <w:pPr>
              <w:snapToGrid w:val="0"/>
              <w:spacing w:line="300" w:lineRule="auto"/>
              <w:jc w:val="center"/>
              <w:rPr>
                <w:rFonts w:hint="eastAsia" w:ascii="宋体" w:hAnsi="宋体"/>
                <w:szCs w:val="21"/>
              </w:rPr>
            </w:pPr>
            <w:r>
              <w:rPr>
                <w:rFonts w:hint="eastAsia" w:ascii="宋体" w:hAnsi="宋体"/>
                <w:szCs w:val="21"/>
              </w:rPr>
              <w:t>财务会计Ⅰ</w:t>
            </w:r>
          </w:p>
        </w:tc>
        <w:tc>
          <w:tcPr>
            <w:tcW w:w="3361" w:type="dxa"/>
            <w:vMerge w:val="continue"/>
            <w:vAlign w:val="center"/>
          </w:tcPr>
          <w:p>
            <w:pPr>
              <w:snapToGrid w:val="0"/>
              <w:spacing w:line="300" w:lineRule="auto"/>
              <w:jc w:val="center"/>
              <w:rPr>
                <w:rFonts w:hint="eastAsia" w:ascii="宋体" w:hAnsi="宋体"/>
                <w:szCs w:val="21"/>
              </w:rPr>
            </w:pPr>
          </w:p>
        </w:tc>
      </w:tr>
    </w:tbl>
    <w:p>
      <w:pPr>
        <w:snapToGrid w:val="0"/>
        <w:spacing w:line="300" w:lineRule="auto"/>
        <w:ind w:firstLine="470" w:firstLineChars="224"/>
        <w:rPr>
          <w:rFonts w:hint="eastAsia" w:ascii="宋体" w:hAnsi="宋体"/>
          <w:szCs w:val="21"/>
        </w:rPr>
      </w:pPr>
    </w:p>
    <w:p>
      <w:pPr>
        <w:snapToGrid w:val="0"/>
        <w:spacing w:line="300" w:lineRule="auto"/>
        <w:ind w:firstLine="470" w:firstLineChars="224"/>
        <w:rPr>
          <w:rFonts w:hint="eastAsia" w:ascii="宋体" w:hAnsi="宋体"/>
          <w:szCs w:val="21"/>
        </w:rPr>
      </w:pPr>
      <w:r>
        <w:rPr>
          <w:rFonts w:hint="eastAsia" w:ascii="宋体" w:hAnsi="宋体"/>
          <w:szCs w:val="21"/>
        </w:rPr>
        <w:t>2.  在科廷大学学习的8门课程</w:t>
      </w:r>
    </w:p>
    <w:tbl>
      <w:tblPr>
        <w:tblStyle w:val="5"/>
        <w:tblW w:w="8051" w:type="dxa"/>
        <w:jc w:val="center"/>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072"/>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3" w:type="dxa"/>
            <w:vAlign w:val="center"/>
          </w:tcPr>
          <w:p>
            <w:pPr>
              <w:snapToGrid w:val="0"/>
              <w:spacing w:line="300" w:lineRule="auto"/>
              <w:jc w:val="center"/>
              <w:rPr>
                <w:rFonts w:hint="eastAsia" w:ascii="宋体" w:hAnsi="宋体"/>
                <w:b/>
                <w:sz w:val="24"/>
              </w:rPr>
            </w:pPr>
            <w:r>
              <w:rPr>
                <w:rFonts w:hint="eastAsia" w:ascii="宋体" w:hAnsi="宋体"/>
                <w:b/>
                <w:sz w:val="24"/>
              </w:rPr>
              <w:t>授课地点</w:t>
            </w:r>
          </w:p>
        </w:tc>
        <w:tc>
          <w:tcPr>
            <w:tcW w:w="3072" w:type="dxa"/>
            <w:vAlign w:val="center"/>
          </w:tcPr>
          <w:p>
            <w:pPr>
              <w:snapToGrid w:val="0"/>
              <w:spacing w:line="300" w:lineRule="auto"/>
              <w:jc w:val="center"/>
              <w:rPr>
                <w:rFonts w:hint="eastAsia" w:ascii="宋体" w:hAnsi="宋体"/>
                <w:b/>
                <w:sz w:val="24"/>
              </w:rPr>
            </w:pPr>
            <w:r>
              <w:rPr>
                <w:rFonts w:hint="eastAsia" w:ascii="宋体" w:hAnsi="宋体"/>
                <w:b/>
                <w:sz w:val="24"/>
              </w:rPr>
              <w:t>课程名称</w:t>
            </w:r>
          </w:p>
        </w:tc>
        <w:tc>
          <w:tcPr>
            <w:tcW w:w="3066" w:type="dxa"/>
            <w:vAlign w:val="center"/>
          </w:tcPr>
          <w:p>
            <w:pPr>
              <w:snapToGrid w:val="0"/>
              <w:spacing w:line="300" w:lineRule="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商务沟通</w:t>
            </w:r>
          </w:p>
        </w:tc>
        <w:tc>
          <w:tcPr>
            <w:tcW w:w="3066" w:type="dxa"/>
            <w:vMerge w:val="restart"/>
            <w:vAlign w:val="center"/>
          </w:tcPr>
          <w:p>
            <w:pPr>
              <w:snapToGrid w:val="0"/>
              <w:spacing w:line="300" w:lineRule="auto"/>
              <w:rPr>
                <w:rFonts w:hint="eastAsia" w:ascii="宋体" w:hAnsi="宋体"/>
                <w:szCs w:val="21"/>
              </w:rPr>
            </w:pPr>
            <w:r>
              <w:rPr>
                <w:rFonts w:hint="eastAsia" w:ascii="宋体" w:hAnsi="宋体"/>
                <w:szCs w:val="21"/>
              </w:rPr>
              <w:t>学生在澳大利亚科廷大学上课，采用科廷大学的英文原版教材。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会计系统</w:t>
            </w:r>
          </w:p>
        </w:tc>
        <w:tc>
          <w:tcPr>
            <w:tcW w:w="3066" w:type="dxa"/>
            <w:vMerge w:val="continue"/>
            <w:vAlign w:val="center"/>
          </w:tcPr>
          <w:p>
            <w:pPr>
              <w:snapToGrid w:val="0"/>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center"/>
          </w:tcPr>
          <w:p>
            <w:pPr>
              <w:rPr>
                <w:rFonts w:ascii="宋体" w:hAnsi="宋体"/>
                <w:szCs w:val="21"/>
              </w:rPr>
            </w:pPr>
            <w:r>
              <w:rPr>
                <w:rFonts w:hint="eastAsia" w:ascii="宋体" w:hAnsi="宋体"/>
                <w:szCs w:val="21"/>
              </w:rPr>
              <w:t>公司法</w:t>
            </w:r>
          </w:p>
        </w:tc>
        <w:tc>
          <w:tcPr>
            <w:tcW w:w="3066"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财务会计</w:t>
            </w:r>
            <w:r>
              <w:rPr>
                <w:rFonts w:hint="eastAsia" w:cs="宋体"/>
                <w:szCs w:val="21"/>
              </w:rPr>
              <w:t>II</w:t>
            </w:r>
          </w:p>
        </w:tc>
        <w:tc>
          <w:tcPr>
            <w:tcW w:w="3066"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管理控制</w:t>
            </w:r>
          </w:p>
        </w:tc>
        <w:tc>
          <w:tcPr>
            <w:tcW w:w="3066"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决策分析</w:t>
            </w:r>
          </w:p>
        </w:tc>
        <w:tc>
          <w:tcPr>
            <w:tcW w:w="3066"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经营论</w:t>
            </w:r>
          </w:p>
        </w:tc>
        <w:tc>
          <w:tcPr>
            <w:tcW w:w="3066" w:type="dxa"/>
            <w:vMerge w:val="continue"/>
            <w:vAlign w:val="center"/>
          </w:tcPr>
          <w:p>
            <w:pPr>
              <w:snapToGrid w:val="0"/>
              <w:spacing w:line="30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3" w:type="dxa"/>
            <w:vAlign w:val="center"/>
          </w:tcPr>
          <w:p>
            <w:pPr>
              <w:snapToGrid w:val="0"/>
              <w:spacing w:line="300" w:lineRule="auto"/>
              <w:jc w:val="center"/>
              <w:rPr>
                <w:rFonts w:hint="eastAsia" w:ascii="宋体" w:hAnsi="宋体"/>
                <w:szCs w:val="21"/>
              </w:rPr>
            </w:pPr>
            <w:r>
              <w:rPr>
                <w:rFonts w:hint="eastAsia" w:ascii="宋体" w:hAnsi="宋体"/>
                <w:szCs w:val="21"/>
              </w:rPr>
              <w:t>科廷大学</w:t>
            </w:r>
          </w:p>
        </w:tc>
        <w:tc>
          <w:tcPr>
            <w:tcW w:w="3072" w:type="dxa"/>
            <w:vAlign w:val="top"/>
          </w:tcPr>
          <w:p>
            <w:pPr>
              <w:spacing w:line="420" w:lineRule="exact"/>
              <w:rPr>
                <w:rFonts w:hint="eastAsia" w:ascii="宋体" w:hAnsi="宋体"/>
                <w:szCs w:val="21"/>
              </w:rPr>
            </w:pPr>
            <w:r>
              <w:rPr>
                <w:rFonts w:hint="eastAsia" w:ascii="宋体" w:hAnsi="宋体"/>
                <w:szCs w:val="21"/>
              </w:rPr>
              <w:t>审计</w:t>
            </w:r>
          </w:p>
        </w:tc>
        <w:tc>
          <w:tcPr>
            <w:tcW w:w="3066" w:type="dxa"/>
            <w:vMerge w:val="continue"/>
            <w:vAlign w:val="center"/>
          </w:tcPr>
          <w:p>
            <w:pPr>
              <w:snapToGrid w:val="0"/>
              <w:spacing w:line="300" w:lineRule="auto"/>
              <w:jc w:val="center"/>
              <w:rPr>
                <w:rFonts w:hint="eastAsia" w:ascii="宋体" w:hAnsi="宋体"/>
                <w:szCs w:val="21"/>
              </w:rPr>
            </w:pPr>
          </w:p>
        </w:tc>
      </w:tr>
    </w:tbl>
    <w:p>
      <w:pPr>
        <w:snapToGrid w:val="0"/>
        <w:spacing w:line="300" w:lineRule="auto"/>
        <w:ind w:firstLine="470" w:firstLineChars="224"/>
        <w:rPr>
          <w:rFonts w:hint="eastAsia" w:ascii="宋体" w:hAnsi="宋体"/>
          <w:szCs w:val="21"/>
        </w:rPr>
      </w:pPr>
    </w:p>
    <w:p>
      <w:pPr>
        <w:spacing w:line="300" w:lineRule="auto"/>
        <w:ind w:firstLine="470" w:firstLineChars="224"/>
        <w:jc w:val="left"/>
        <w:rPr>
          <w:rFonts w:hint="eastAsia" w:ascii="楷体_GB2312" w:hAnsi="华文中宋" w:eastAsia="楷体_GB2312"/>
          <w:b/>
          <w:szCs w:val="21"/>
        </w:rPr>
      </w:pPr>
      <w:r>
        <w:rPr>
          <w:rFonts w:hint="eastAsia" w:ascii="宋体" w:hAnsi="宋体"/>
          <w:szCs w:val="21"/>
        </w:rPr>
        <w:t>3.学生在中南财经政法大学将完成我校会计学专业的课程和相应的学分（从2007级开始该班所有专业课均采用原版教材、双语教学），澳大利亚科廷大学认可我校会计学专业的会计学原理、经济法学等12门课程。</w:t>
      </w:r>
    </w:p>
    <w:p/>
    <w:sectPr>
      <w:footerReference r:id="rId3" w:type="default"/>
      <w:footerReference r:id="rId4" w:type="even"/>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wsGoth BT">
    <w:altName w:val="Trebuchet MS"/>
    <w:panose1 w:val="020B0503020203020204"/>
    <w:charset w:val="00"/>
    <w:family w:val="swiss"/>
    <w:pitch w:val="default"/>
    <w:sig w:usb0="00000000" w:usb1="00000000" w:usb2="00000000" w:usb3="00000000" w:csb0="0000001B" w:csb1="00000000"/>
  </w:font>
  <w:font w:name="Trebuchet MS">
    <w:panose1 w:val="020B0603020202020204"/>
    <w:charset w:val="00"/>
    <w:family w:val="auto"/>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B53F6"/>
    <w:rsid w:val="3BEB53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tabs>
        <w:tab w:val="center" w:pos="4153"/>
        <w:tab w:val="right" w:pos="8306"/>
      </w:tabs>
      <w:jc w:val="left"/>
    </w:pPr>
    <w:rPr>
      <w:rFonts w:ascii="NewsGoth BT" w:hAnsi="NewsGoth BT"/>
      <w:kern w:val="0"/>
      <w:sz w:val="24"/>
      <w:szCs w:val="20"/>
      <w:lang w:val="en-GB" w:eastAsia="en-GB"/>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2018-08-29T03:38:00Z</dcterms:created>
  <dc:creator>Administrator</dc:creator>
  <cp:lastModifiedBy>Administrator</cp:lastModifiedBy>
  <dcterms:modified xsi:type="dcterms:W3CDTF">2018-08-29T03:39:25Z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